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8CEB" w14:textId="222F0D3A" w:rsidR="007838BC" w:rsidRDefault="00333BC0" w:rsidP="00333BC0">
      <w:pPr>
        <w:jc w:val="center"/>
        <w:rPr>
          <w:rFonts w:ascii="Tahoma" w:eastAsia="Times New Roman" w:hAnsi="Tahoma" w:cs="Tahoma"/>
          <w:color w:val="000000"/>
          <w:kern w:val="0"/>
          <w:sz w:val="20"/>
          <w:szCs w:val="20"/>
          <w:lang w:eastAsia="it-IT"/>
          <w14:ligatures w14:val="none"/>
        </w:rPr>
      </w:pPr>
      <w:r>
        <w:rPr>
          <w:noProof/>
          <w:lang w:eastAsia="it-IT"/>
        </w:rPr>
        <w:drawing>
          <wp:inline distT="0" distB="0" distL="0" distR="0" wp14:anchorId="021B3DEB" wp14:editId="6A231DA9">
            <wp:extent cx="619125" cy="942975"/>
            <wp:effectExtent l="0" t="0" r="0" b="0"/>
            <wp:docPr id="10715119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140" t="-95" r="-140" b="-95"/>
                    <a:stretch>
                      <a:fillRect/>
                    </a:stretch>
                  </pic:blipFill>
                  <pic:spPr bwMode="auto">
                    <a:xfrm>
                      <a:off x="0" y="0"/>
                      <a:ext cx="619125" cy="942975"/>
                    </a:xfrm>
                    <a:prstGeom prst="rect">
                      <a:avLst/>
                    </a:prstGeom>
                    <a:solidFill>
                      <a:srgbClr val="FFFFFF">
                        <a:alpha val="0"/>
                      </a:srgbClr>
                    </a:solidFill>
                    <a:ln>
                      <a:noFill/>
                    </a:ln>
                  </pic:spPr>
                </pic:pic>
              </a:graphicData>
            </a:graphic>
          </wp:inline>
        </w:drawing>
      </w:r>
    </w:p>
    <w:p w14:paraId="2D1F930A" w14:textId="77777777" w:rsidR="00333BC0" w:rsidRDefault="00333BC0" w:rsidP="007838BC">
      <w:pPr>
        <w:jc w:val="both"/>
        <w:rPr>
          <w:rFonts w:ascii="Tahoma" w:eastAsia="Times New Roman" w:hAnsi="Tahoma" w:cs="Tahoma"/>
          <w:color w:val="000000"/>
          <w:kern w:val="0"/>
          <w:sz w:val="20"/>
          <w:szCs w:val="20"/>
          <w:lang w:eastAsia="it-IT"/>
          <w14:ligatures w14:val="none"/>
        </w:rPr>
      </w:pPr>
    </w:p>
    <w:p w14:paraId="775BDBFA" w14:textId="77777777" w:rsidR="00333BC0" w:rsidRDefault="00333BC0" w:rsidP="007838BC">
      <w:pPr>
        <w:jc w:val="both"/>
        <w:rPr>
          <w:rFonts w:ascii="Tahoma" w:eastAsia="Times New Roman" w:hAnsi="Tahoma" w:cs="Tahoma"/>
          <w:color w:val="000000"/>
          <w:kern w:val="0"/>
          <w:sz w:val="20"/>
          <w:szCs w:val="20"/>
          <w:lang w:eastAsia="it-IT"/>
          <w14:ligatures w14:val="none"/>
        </w:rPr>
      </w:pPr>
    </w:p>
    <w:p w14:paraId="6400C6C6" w14:textId="77777777" w:rsidR="00333BC0" w:rsidRDefault="00333BC0" w:rsidP="007838BC">
      <w:pPr>
        <w:jc w:val="both"/>
        <w:rPr>
          <w:rFonts w:ascii="Tahoma" w:eastAsia="Times New Roman" w:hAnsi="Tahoma" w:cs="Tahoma"/>
          <w:color w:val="000000"/>
          <w:kern w:val="0"/>
          <w:sz w:val="20"/>
          <w:szCs w:val="20"/>
          <w:lang w:eastAsia="it-IT"/>
          <w14:ligatures w14:val="none"/>
        </w:rPr>
      </w:pPr>
    </w:p>
    <w:p w14:paraId="1CC1E01C" w14:textId="77777777" w:rsidR="00333BC0" w:rsidRDefault="00333BC0" w:rsidP="007838BC">
      <w:pPr>
        <w:jc w:val="both"/>
        <w:rPr>
          <w:rFonts w:ascii="Tahoma" w:eastAsia="Times New Roman" w:hAnsi="Tahoma" w:cs="Tahoma"/>
          <w:color w:val="000000"/>
          <w:kern w:val="0"/>
          <w:sz w:val="20"/>
          <w:szCs w:val="20"/>
          <w:lang w:eastAsia="it-IT"/>
          <w14:ligatures w14:val="none"/>
        </w:rPr>
      </w:pPr>
    </w:p>
    <w:p w14:paraId="48A365B1" w14:textId="77777777" w:rsidR="00333BC0" w:rsidRDefault="00333BC0" w:rsidP="007838BC">
      <w:pPr>
        <w:jc w:val="both"/>
        <w:rPr>
          <w:rFonts w:ascii="Tahoma" w:eastAsia="Times New Roman" w:hAnsi="Tahoma" w:cs="Tahoma"/>
          <w:color w:val="000000"/>
          <w:kern w:val="0"/>
          <w:sz w:val="20"/>
          <w:szCs w:val="20"/>
          <w:lang w:eastAsia="it-IT"/>
          <w14:ligatures w14:val="none"/>
        </w:rPr>
      </w:pPr>
    </w:p>
    <w:p w14:paraId="1764136D" w14:textId="77777777" w:rsidR="007838BC" w:rsidRPr="00333BC0" w:rsidRDefault="007838BC" w:rsidP="007838BC">
      <w:pPr>
        <w:jc w:val="center"/>
        <w:rPr>
          <w:rFonts w:ascii="Tahoma" w:eastAsia="Times New Roman" w:hAnsi="Tahoma" w:cs="Tahoma"/>
          <w:b/>
          <w:bCs/>
          <w:color w:val="000000"/>
          <w:kern w:val="0"/>
          <w:lang w:eastAsia="it-IT"/>
          <w14:ligatures w14:val="none"/>
        </w:rPr>
      </w:pPr>
      <w:r w:rsidRPr="00333BC0">
        <w:rPr>
          <w:rFonts w:ascii="Tahoma" w:eastAsia="Times New Roman" w:hAnsi="Tahoma" w:cs="Tahoma"/>
          <w:b/>
          <w:bCs/>
          <w:color w:val="000000"/>
          <w:kern w:val="0"/>
          <w:lang w:eastAsia="it-IT"/>
          <w14:ligatures w14:val="none"/>
        </w:rPr>
        <w:t>SCHEDA DI SINTESI</w:t>
      </w:r>
    </w:p>
    <w:p w14:paraId="754A0068" w14:textId="77777777" w:rsidR="007838BC" w:rsidRDefault="007838BC" w:rsidP="007838BC">
      <w:pPr>
        <w:jc w:val="center"/>
        <w:rPr>
          <w:rFonts w:ascii="Tahoma" w:eastAsia="Times New Roman" w:hAnsi="Tahoma" w:cs="Tahoma"/>
          <w:color w:val="000000"/>
          <w:kern w:val="0"/>
          <w:lang w:eastAsia="it-IT"/>
          <w14:ligatures w14:val="none"/>
        </w:rPr>
      </w:pPr>
    </w:p>
    <w:p w14:paraId="32FE7E62" w14:textId="77777777" w:rsidR="007838BC" w:rsidRDefault="007838BC" w:rsidP="007838BC">
      <w:pPr>
        <w:jc w:val="center"/>
        <w:rPr>
          <w:rFonts w:ascii="Calibri" w:eastAsia="Times New Roman" w:hAnsi="Calibri" w:cs="Calibri"/>
          <w:b/>
          <w:bCs/>
          <w:color w:val="000000"/>
          <w:kern w:val="0"/>
          <w:lang w:eastAsia="it-IT"/>
          <w14:ligatures w14:val="none"/>
        </w:rPr>
      </w:pPr>
      <w:r w:rsidRPr="007838BC">
        <w:rPr>
          <w:rFonts w:ascii="Calibri" w:eastAsia="Times New Roman" w:hAnsi="Calibri" w:cs="Calibri"/>
          <w:b/>
          <w:bCs/>
          <w:color w:val="000000"/>
          <w:kern w:val="0"/>
          <w:lang w:eastAsia="it-IT"/>
          <w14:ligatures w14:val="none"/>
        </w:rPr>
        <w:t>Il dossier Anci e la campagna di comunicazione Anci-Dipartimento Pari opportunità della Presidenza del Consiglio dei ministri</w:t>
      </w:r>
    </w:p>
    <w:p w14:paraId="68433EF4" w14:textId="77777777" w:rsidR="007838BC" w:rsidRDefault="007838BC" w:rsidP="007838BC">
      <w:pPr>
        <w:jc w:val="center"/>
        <w:rPr>
          <w:rFonts w:ascii="Calibri" w:eastAsia="Times New Roman" w:hAnsi="Calibri" w:cs="Calibri"/>
          <w:b/>
          <w:bCs/>
          <w:color w:val="000000"/>
          <w:kern w:val="0"/>
          <w:lang w:eastAsia="it-IT"/>
          <w14:ligatures w14:val="none"/>
        </w:rPr>
      </w:pPr>
    </w:p>
    <w:p w14:paraId="76D3102C" w14:textId="77777777" w:rsidR="007838BC" w:rsidRPr="007838BC" w:rsidRDefault="007838BC" w:rsidP="007838BC">
      <w:pPr>
        <w:jc w:val="center"/>
        <w:rPr>
          <w:rFonts w:ascii="Calibri" w:eastAsia="Times New Roman" w:hAnsi="Calibri" w:cs="Calibri"/>
          <w:b/>
          <w:bCs/>
          <w:color w:val="000000"/>
          <w:kern w:val="0"/>
          <w:lang w:eastAsia="it-IT"/>
          <w14:ligatures w14:val="none"/>
        </w:rPr>
      </w:pPr>
      <w:r>
        <w:rPr>
          <w:rFonts w:ascii="Calibri" w:eastAsia="Times New Roman" w:hAnsi="Calibri" w:cs="Calibri"/>
          <w:b/>
          <w:bCs/>
          <w:color w:val="000000"/>
          <w:kern w:val="0"/>
          <w:lang w:eastAsia="it-IT"/>
          <w14:ligatures w14:val="none"/>
        </w:rPr>
        <w:t>*****</w:t>
      </w:r>
    </w:p>
    <w:p w14:paraId="1A2059A7" w14:textId="77777777" w:rsidR="007838BC" w:rsidRPr="007838BC" w:rsidRDefault="007838BC" w:rsidP="007838BC">
      <w:pPr>
        <w:rPr>
          <w:rFonts w:ascii="Tahoma" w:eastAsia="Times New Roman" w:hAnsi="Tahoma" w:cs="Tahoma"/>
          <w:b/>
          <w:bCs/>
          <w:color w:val="000000"/>
          <w:kern w:val="0"/>
          <w:sz w:val="20"/>
          <w:szCs w:val="20"/>
          <w:lang w:eastAsia="it-IT"/>
          <w14:ligatures w14:val="none"/>
        </w:rPr>
      </w:pPr>
    </w:p>
    <w:p w14:paraId="661C2446" w14:textId="77777777" w:rsidR="007838BC" w:rsidRPr="007838BC" w:rsidRDefault="007838BC" w:rsidP="007838BC">
      <w:pPr>
        <w:jc w:val="both"/>
        <w:rPr>
          <w:rFonts w:ascii="Calibri" w:eastAsia="Times New Roman" w:hAnsi="Calibri" w:cs="Calibri"/>
          <w:b/>
          <w:bCs/>
          <w:color w:val="000000"/>
          <w:kern w:val="0"/>
          <w:lang w:eastAsia="it-IT"/>
          <w14:ligatures w14:val="none"/>
        </w:rPr>
      </w:pPr>
      <w:r w:rsidRPr="007838BC">
        <w:rPr>
          <w:rFonts w:ascii="Calibri" w:eastAsia="Times New Roman" w:hAnsi="Calibri" w:cs="Calibri"/>
          <w:b/>
          <w:bCs/>
          <w:color w:val="000000"/>
          <w:kern w:val="0"/>
          <w:lang w:eastAsia="it-IT"/>
          <w14:ligatures w14:val="none"/>
        </w:rPr>
        <w:t>Il dossier Anci</w:t>
      </w:r>
    </w:p>
    <w:p w14:paraId="60A86BA4"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L’86,9 per cento dei capoluoghi italiani, e il 50,5 per cento dei Comuni più piccoli, realizza progetti di prevenzione nelle scuole contro la violenza sulle donne, mentre, sempre nei comuni non capoluogo, altrettanto diffusa è l’organizzazione di eventi culturali di prevenzione, attivi nel 67,3 per cento dei piccoli medi e piccoli.</w:t>
      </w:r>
    </w:p>
    <w:p w14:paraId="38366718"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Sono questi alcuni numeri dell’impegno dei Comuni italiani contro la violenza di genere, contenuti nel dossier Anci “Contro la violenza sulle donne mai bandiera bianca”, che presenta una fotografia aggiornata a novembre 2025 su un campione rappresentativo di 566 Comuni (102 del Centro, 192 del Nord-Est, 177 del Nord-Ovest e 95 del Sud e Isole) di cui 8 città metropolitane e 53 Comuni capoluogo di provincia.</w:t>
      </w:r>
    </w:p>
    <w:p w14:paraId="1A1DC881"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Dallo studio Anci emerge anche la crescita nei capoluoghi dei centri anti violenza (attivi nel 88,5 per cento degli enti) e sulle case rifugio (75,4 per cento), mentre le misure per l’autonomia economica si attesta nel 68,9 per cento. Nei Comuni non capoluogo sono più diffusi gli sportelli di ascolto (27,1 per cento) e le sedi CAV gestite in forma sovracomunale (31,1 per cento).</w:t>
      </w:r>
    </w:p>
    <w:p w14:paraId="03A1CCF7"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 xml:space="preserve">L’indagine Anci analizza poi l’impegno economico di tutti i Comuni che hanno speso poco meno 26 milioni nel 2022 per Centri antiviolenza e alle Case rifugio, 18 milioni di euro in più rispetto al 2017, </w:t>
      </w:r>
      <w:proofErr w:type="gramStart"/>
      <w:r w:rsidRPr="007838BC">
        <w:rPr>
          <w:rFonts w:ascii="Calibri" w:eastAsia="Times New Roman" w:hAnsi="Calibri" w:cs="Calibri"/>
          <w:color w:val="000000"/>
          <w:kern w:val="0"/>
          <w:lang w:eastAsia="it-IT"/>
          <w14:ligatures w14:val="none"/>
        </w:rPr>
        <w:t>mentre  il</w:t>
      </w:r>
      <w:proofErr w:type="gramEnd"/>
      <w:r w:rsidRPr="007838BC">
        <w:rPr>
          <w:rFonts w:ascii="Calibri" w:eastAsia="Times New Roman" w:hAnsi="Calibri" w:cs="Calibri"/>
          <w:color w:val="000000"/>
          <w:kern w:val="0"/>
          <w:lang w:eastAsia="it-IT"/>
          <w14:ligatures w14:val="none"/>
        </w:rPr>
        <w:t xml:space="preserve"> numero di donne sostenute dai CAV e ospitate dalle CR è passato complessivamente da circa 9.400 a oltre 22.500 in soli 5 anni (rielaborazione Anci su dati Istat).</w:t>
      </w:r>
    </w:p>
    <w:p w14:paraId="7140D9DF"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Rispetto alla governance locale, ossia parità di genere nelle deleghe politiche, consulte e tavoli, dall’indagine Anci emerge che quasi due terzi dei Comuni dispongono di una delega alle Pari Opportunità. Le Consulte o Commissioni Pari Opportunità sono presenti nel 67,2 per cento dei capoluoghi e nel 27,1 per cento dei non capoluogo. Il Comitato Unico di Garanzia (CUG) è pienamente operativo nel 63,9% dei capoluoghi e nel 24,4% dei non capoluogo.</w:t>
      </w:r>
    </w:p>
    <w:p w14:paraId="5FF33E6A"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 xml:space="preserve">La parità nell’organizzazione amministrativa è presente ma in modo disomogeneo. Il Piano di Azioni Positive (PAP), infatti, è redatto regolarmente dal 72,1 per cento dei capoluoghi e dal 44,8 per cento dei non capoluogo: il 39,3 per cento dei capoluoghi effettua un monitoraggio strutturato degli indicatori interni </w:t>
      </w:r>
      <w:proofErr w:type="gramStart"/>
      <w:r w:rsidRPr="007838BC">
        <w:rPr>
          <w:rFonts w:ascii="Calibri" w:eastAsia="Times New Roman" w:hAnsi="Calibri" w:cs="Calibri"/>
          <w:color w:val="000000"/>
          <w:kern w:val="0"/>
          <w:lang w:eastAsia="it-IT"/>
          <w14:ligatures w14:val="none"/>
        </w:rPr>
        <w:t>mentre  nei</w:t>
      </w:r>
      <w:proofErr w:type="gramEnd"/>
      <w:r w:rsidRPr="007838BC">
        <w:rPr>
          <w:rFonts w:ascii="Calibri" w:eastAsia="Times New Roman" w:hAnsi="Calibri" w:cs="Calibri"/>
          <w:color w:val="000000"/>
          <w:kern w:val="0"/>
          <w:lang w:eastAsia="it-IT"/>
          <w14:ligatures w14:val="none"/>
        </w:rPr>
        <w:t xml:space="preserve"> non capoluogo la quota scende al 19,4 per cento.</w:t>
      </w:r>
    </w:p>
    <w:p w14:paraId="11AE52D6"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Infine la rappresentanza di genere nelle commissioni di concorso. Questa regola è formalizzata nel 67,2 per cento dei capoluoghi e nel 59,8 per cento dei non capoluogo.</w:t>
      </w:r>
    </w:p>
    <w:p w14:paraId="67AC858D" w14:textId="77777777" w:rsidR="007838BC" w:rsidRPr="007838BC" w:rsidRDefault="007838BC" w:rsidP="007838BC">
      <w:pPr>
        <w:jc w:val="both"/>
        <w:rPr>
          <w:rFonts w:ascii="Calibri" w:eastAsia="Times New Roman" w:hAnsi="Calibri" w:cs="Calibri"/>
          <w:color w:val="000000"/>
          <w:kern w:val="0"/>
          <w:lang w:eastAsia="it-IT"/>
          <w14:ligatures w14:val="none"/>
        </w:rPr>
      </w:pPr>
    </w:p>
    <w:p w14:paraId="608C59B2" w14:textId="77777777" w:rsidR="007838BC" w:rsidRDefault="007838BC" w:rsidP="007838BC">
      <w:pPr>
        <w:jc w:val="both"/>
        <w:rPr>
          <w:rFonts w:ascii="Calibri" w:eastAsia="Times New Roman" w:hAnsi="Calibri" w:cs="Calibri"/>
          <w:b/>
          <w:bCs/>
          <w:color w:val="000000"/>
          <w:kern w:val="0"/>
          <w:lang w:eastAsia="it-IT"/>
          <w14:ligatures w14:val="none"/>
        </w:rPr>
      </w:pPr>
      <w:r w:rsidRPr="007838BC">
        <w:rPr>
          <w:rFonts w:ascii="Calibri" w:eastAsia="Times New Roman" w:hAnsi="Calibri" w:cs="Calibri"/>
          <w:b/>
          <w:bCs/>
          <w:color w:val="000000"/>
          <w:kern w:val="0"/>
          <w:lang w:eastAsia="it-IT"/>
          <w14:ligatures w14:val="none"/>
        </w:rPr>
        <w:t>La campagna "Contro la violenza sulle donne ‘Mai bandiera bianca’</w:t>
      </w:r>
    </w:p>
    <w:p w14:paraId="0359FBF3" w14:textId="77777777" w:rsidR="007838BC" w:rsidRPr="007838BC" w:rsidRDefault="007838BC" w:rsidP="009F1171">
      <w:pPr>
        <w:jc w:val="both"/>
        <w:rPr>
          <w:rFonts w:ascii="Calibri" w:eastAsia="Times New Roman" w:hAnsi="Calibri" w:cs="Calibri"/>
          <w:color w:val="000000"/>
          <w:kern w:val="0"/>
          <w:lang w:eastAsia="it-IT"/>
          <w14:ligatures w14:val="none"/>
        </w:rPr>
      </w:pPr>
      <w:r>
        <w:rPr>
          <w:rFonts w:ascii="Calibri" w:eastAsia="Times New Roman" w:hAnsi="Calibri" w:cs="Calibri"/>
          <w:color w:val="000000"/>
          <w:kern w:val="0"/>
          <w:lang w:eastAsia="it-IT"/>
          <w14:ligatures w14:val="none"/>
        </w:rPr>
        <w:t>P</w:t>
      </w:r>
      <w:r w:rsidRPr="007838BC">
        <w:rPr>
          <w:rFonts w:ascii="Calibri" w:eastAsia="Times New Roman" w:hAnsi="Calibri" w:cs="Calibri"/>
          <w:color w:val="000000"/>
          <w:kern w:val="0"/>
          <w:lang w:eastAsia="it-IT"/>
          <w14:ligatures w14:val="none"/>
        </w:rPr>
        <w:t>romossa da A</w:t>
      </w:r>
      <w:r>
        <w:rPr>
          <w:rFonts w:ascii="Calibri" w:eastAsia="Times New Roman" w:hAnsi="Calibri" w:cs="Calibri"/>
          <w:color w:val="000000"/>
          <w:kern w:val="0"/>
          <w:lang w:eastAsia="it-IT"/>
          <w14:ligatures w14:val="none"/>
        </w:rPr>
        <w:t>nci</w:t>
      </w:r>
      <w:r w:rsidRPr="007838BC">
        <w:rPr>
          <w:rFonts w:ascii="Calibri" w:eastAsia="Times New Roman" w:hAnsi="Calibri" w:cs="Calibri"/>
          <w:color w:val="000000"/>
          <w:kern w:val="0"/>
          <w:lang w:eastAsia="it-IT"/>
          <w14:ligatures w14:val="none"/>
        </w:rPr>
        <w:t xml:space="preserve"> e Dipartimento Pari Opportunità della Presidenza del Consiglio dei Ministri, </w:t>
      </w:r>
      <w:r w:rsidR="009F1171" w:rsidRPr="009F1171">
        <w:rPr>
          <w:rFonts w:ascii="Calibri" w:eastAsia="Times New Roman" w:hAnsi="Calibri" w:cs="Calibri"/>
          <w:color w:val="000000"/>
          <w:kern w:val="0"/>
          <w:lang w:eastAsia="it-IT"/>
          <w14:ligatures w14:val="none"/>
        </w:rPr>
        <w:t>l</w:t>
      </w:r>
      <w:r w:rsidR="009F1171" w:rsidRPr="007838BC">
        <w:rPr>
          <w:rFonts w:ascii="Calibri" w:eastAsia="Times New Roman" w:hAnsi="Calibri" w:cs="Calibri"/>
          <w:color w:val="000000"/>
          <w:kern w:val="0"/>
          <w:lang w:eastAsia="it-IT"/>
          <w14:ligatures w14:val="none"/>
        </w:rPr>
        <w:t>a campagna "C</w:t>
      </w:r>
      <w:r w:rsidR="009F1171" w:rsidRPr="009F1171">
        <w:rPr>
          <w:rFonts w:ascii="Calibri" w:eastAsia="Times New Roman" w:hAnsi="Calibri" w:cs="Calibri"/>
          <w:color w:val="000000"/>
          <w:kern w:val="0"/>
          <w:lang w:eastAsia="it-IT"/>
          <w14:ligatures w14:val="none"/>
        </w:rPr>
        <w:t>ontro la violenza sulle donne ‘Mai bandiera bianca’</w:t>
      </w:r>
      <w:r w:rsidR="009F1171">
        <w:rPr>
          <w:rFonts w:ascii="Calibri" w:eastAsia="Times New Roman" w:hAnsi="Calibri" w:cs="Calibri"/>
          <w:color w:val="000000"/>
          <w:kern w:val="0"/>
          <w:lang w:eastAsia="it-IT"/>
          <w14:ligatures w14:val="none"/>
        </w:rPr>
        <w:t xml:space="preserve"> </w:t>
      </w:r>
      <w:r w:rsidRPr="007838BC">
        <w:rPr>
          <w:rFonts w:ascii="Calibri" w:eastAsia="Times New Roman" w:hAnsi="Calibri" w:cs="Calibri"/>
          <w:color w:val="000000"/>
          <w:kern w:val="0"/>
          <w:lang w:eastAsia="it-IT"/>
          <w14:ligatures w14:val="none"/>
        </w:rPr>
        <w:t xml:space="preserve">esprime l’idea che le istituzioni non </w:t>
      </w:r>
      <w:r w:rsidRPr="007838BC">
        <w:rPr>
          <w:rFonts w:ascii="Calibri" w:eastAsia="Times New Roman" w:hAnsi="Calibri" w:cs="Calibri"/>
          <w:color w:val="000000"/>
          <w:kern w:val="0"/>
          <w:lang w:eastAsia="it-IT"/>
          <w14:ligatures w14:val="none"/>
        </w:rPr>
        <w:lastRenderedPageBreak/>
        <w:t>devono arretrare né arrendersi di fronte alla violenza sulle donne: la battaglia è culturale, sociale e quotidiana.</w:t>
      </w:r>
    </w:p>
    <w:p w14:paraId="2E235D8A"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 xml:space="preserve">Lo strumento principale della campagna sarà, quindi, una bandiera da esporre in tutti i </w:t>
      </w:r>
      <w:r w:rsidR="009F1171">
        <w:rPr>
          <w:rFonts w:ascii="Calibri" w:eastAsia="Times New Roman" w:hAnsi="Calibri" w:cs="Calibri"/>
          <w:color w:val="000000"/>
          <w:kern w:val="0"/>
          <w:lang w:eastAsia="it-IT"/>
          <w14:ligatures w14:val="none"/>
        </w:rPr>
        <w:t>C</w:t>
      </w:r>
      <w:r w:rsidRPr="007838BC">
        <w:rPr>
          <w:rFonts w:ascii="Calibri" w:eastAsia="Times New Roman" w:hAnsi="Calibri" w:cs="Calibri"/>
          <w:color w:val="000000"/>
          <w:kern w:val="0"/>
          <w:lang w:eastAsia="it-IT"/>
          <w14:ligatures w14:val="none"/>
        </w:rPr>
        <w:t>omuni, presidio istituzionale per eccellenza, che rappresenta identità, presenza e impegno pubblico. </w:t>
      </w:r>
    </w:p>
    <w:p w14:paraId="1DC83CD2"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La campagna durerà tutto l'anno (#25novembretuttolanno), segno di un impegno costante e permanente dei Sindaci: entrerà tra i banchi di scuola e nelle piazze, sarà indossata dalle persone (</w:t>
      </w:r>
      <w:proofErr w:type="spellStart"/>
      <w:r w:rsidRPr="007838BC">
        <w:rPr>
          <w:rFonts w:ascii="Calibri" w:eastAsia="Times New Roman" w:hAnsi="Calibri" w:cs="Calibri"/>
          <w:color w:val="000000"/>
          <w:kern w:val="0"/>
          <w:lang w:eastAsia="it-IT"/>
          <w14:ligatures w14:val="none"/>
        </w:rPr>
        <w:t>tshirt</w:t>
      </w:r>
      <w:proofErr w:type="spellEnd"/>
      <w:r w:rsidRPr="007838BC">
        <w:rPr>
          <w:rFonts w:ascii="Calibri" w:eastAsia="Times New Roman" w:hAnsi="Calibri" w:cs="Calibri"/>
          <w:color w:val="000000"/>
          <w:kern w:val="0"/>
          <w:lang w:eastAsia="it-IT"/>
          <w14:ligatures w14:val="none"/>
        </w:rPr>
        <w:t>, shopper, etc.) e affissa negli spazi comunali, si integrerà nel calendario degli eventi culturali, nell'anno delle celebrazioni per l'ottantesimo della Repubblica e del voto alle donne.</w:t>
      </w:r>
    </w:p>
    <w:p w14:paraId="25D1F4EB"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 xml:space="preserve">Ai sindaci sarà richiesto di aderire esponendo la bandiera e di coinvolgere influencer e figure pubbliche locali, che diventeranno </w:t>
      </w:r>
      <w:proofErr w:type="spellStart"/>
      <w:r w:rsidRPr="007838BC">
        <w:rPr>
          <w:rFonts w:ascii="Calibri" w:eastAsia="Times New Roman" w:hAnsi="Calibri" w:cs="Calibri"/>
          <w:color w:val="000000"/>
          <w:kern w:val="0"/>
          <w:lang w:eastAsia="it-IT"/>
          <w14:ligatures w14:val="none"/>
        </w:rPr>
        <w:t>ambassador</w:t>
      </w:r>
      <w:proofErr w:type="spellEnd"/>
      <w:r w:rsidRPr="007838BC">
        <w:rPr>
          <w:rFonts w:ascii="Calibri" w:eastAsia="Times New Roman" w:hAnsi="Calibri" w:cs="Calibri"/>
          <w:color w:val="000000"/>
          <w:kern w:val="0"/>
          <w:lang w:eastAsia="it-IT"/>
          <w14:ligatures w14:val="none"/>
        </w:rPr>
        <w:t xml:space="preserve"> del messaggio, in particolare tra i giovani, anche attraverso i canali social. Questa rete consentirà una diffusione capillare e multicanale della campagna, rafforzando la componente culturale e la penetrazione del messaggio nelle comunità.</w:t>
      </w:r>
    </w:p>
    <w:p w14:paraId="02ADB0CB"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 xml:space="preserve">Il colore rosso-arancione </w:t>
      </w:r>
      <w:proofErr w:type="spellStart"/>
      <w:r w:rsidRPr="007838BC">
        <w:rPr>
          <w:rFonts w:ascii="Calibri" w:eastAsia="Times New Roman" w:hAnsi="Calibri" w:cs="Calibri"/>
          <w:color w:val="000000"/>
          <w:kern w:val="0"/>
          <w:lang w:eastAsia="it-IT"/>
          <w14:ligatures w14:val="none"/>
        </w:rPr>
        <w:t>é</w:t>
      </w:r>
      <w:proofErr w:type="spellEnd"/>
      <w:r w:rsidRPr="007838BC">
        <w:rPr>
          <w:rFonts w:ascii="Calibri" w:eastAsia="Times New Roman" w:hAnsi="Calibri" w:cs="Calibri"/>
          <w:color w:val="000000"/>
          <w:kern w:val="0"/>
          <w:lang w:eastAsia="it-IT"/>
          <w14:ligatures w14:val="none"/>
        </w:rPr>
        <w:t xml:space="preserve"> quello dell’Obiettivo 5 dell’Agenda ONU 2030, dedicato alla parità di genere.</w:t>
      </w:r>
    </w:p>
    <w:p w14:paraId="5C6411EB" w14:textId="77777777" w:rsidR="007838BC" w:rsidRPr="007838BC" w:rsidRDefault="007838BC" w:rsidP="007838BC">
      <w:pPr>
        <w:jc w:val="both"/>
        <w:rPr>
          <w:rFonts w:ascii="Calibri" w:eastAsia="Times New Roman" w:hAnsi="Calibri" w:cs="Calibri"/>
          <w:color w:val="000000"/>
          <w:kern w:val="0"/>
          <w:lang w:eastAsia="it-IT"/>
          <w14:ligatures w14:val="none"/>
        </w:rPr>
      </w:pPr>
      <w:r w:rsidRPr="007838BC">
        <w:rPr>
          <w:rFonts w:ascii="Calibri" w:eastAsia="Times New Roman" w:hAnsi="Calibri" w:cs="Calibri"/>
          <w:color w:val="000000"/>
          <w:kern w:val="0"/>
          <w:lang w:eastAsia="it-IT"/>
          <w14:ligatures w14:val="none"/>
        </w:rPr>
        <w:t xml:space="preserve">La grafica pop, essenziale ma d’impatto, è progettata per essere inclusiva, contemporanea e facilmente riconoscibile in ogni contesto istituzionale. </w:t>
      </w:r>
      <w:proofErr w:type="gramStart"/>
      <w:r w:rsidRPr="007838BC">
        <w:rPr>
          <w:rFonts w:ascii="Calibri" w:eastAsia="Times New Roman" w:hAnsi="Calibri" w:cs="Calibri"/>
          <w:color w:val="000000"/>
          <w:kern w:val="0"/>
          <w:lang w:eastAsia="it-IT"/>
          <w14:ligatures w14:val="none"/>
        </w:rPr>
        <w:t>E</w:t>
      </w:r>
      <w:proofErr w:type="gramEnd"/>
      <w:r w:rsidRPr="007838BC">
        <w:rPr>
          <w:rFonts w:ascii="Calibri" w:eastAsia="Times New Roman" w:hAnsi="Calibri" w:cs="Calibri"/>
          <w:color w:val="000000"/>
          <w:kern w:val="0"/>
          <w:lang w:eastAsia="it-IT"/>
          <w14:ligatures w14:val="none"/>
        </w:rPr>
        <w:t xml:space="preserve"> traducibile in altre lingue.</w:t>
      </w:r>
    </w:p>
    <w:p w14:paraId="06104ABB" w14:textId="77777777" w:rsidR="00CB21C4" w:rsidRPr="007838BC" w:rsidRDefault="00CB21C4" w:rsidP="007838BC">
      <w:pPr>
        <w:jc w:val="both"/>
        <w:rPr>
          <w:rFonts w:ascii="Calibri" w:hAnsi="Calibri" w:cs="Calibri"/>
        </w:rPr>
      </w:pPr>
    </w:p>
    <w:sectPr w:rsidR="00CB21C4" w:rsidRPr="007838BC" w:rsidSect="007838BC">
      <w:pgSz w:w="11900" w:h="16840"/>
      <w:pgMar w:top="94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BC"/>
    <w:rsid w:val="00150945"/>
    <w:rsid w:val="00333BC0"/>
    <w:rsid w:val="003C79BE"/>
    <w:rsid w:val="007838BC"/>
    <w:rsid w:val="009F1171"/>
    <w:rsid w:val="00A65821"/>
    <w:rsid w:val="00B0739C"/>
    <w:rsid w:val="00BF272F"/>
    <w:rsid w:val="00CB21C4"/>
    <w:rsid w:val="00D62D9D"/>
    <w:rsid w:val="00DD3C70"/>
    <w:rsid w:val="00F6409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7FA8"/>
  <w15:chartTrackingRefBased/>
  <w15:docId w15:val="{9D5B6690-FB9A-E64E-BA81-17265AA1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13">
      <w:bodyDiv w:val="1"/>
      <w:marLeft w:val="0"/>
      <w:marRight w:val="0"/>
      <w:marTop w:val="0"/>
      <w:marBottom w:val="0"/>
      <w:divBdr>
        <w:top w:val="none" w:sz="0" w:space="0" w:color="auto"/>
        <w:left w:val="none" w:sz="0" w:space="0" w:color="auto"/>
        <w:bottom w:val="none" w:sz="0" w:space="0" w:color="auto"/>
        <w:right w:val="none" w:sz="0" w:space="0" w:color="auto"/>
      </w:divBdr>
      <w:divsChild>
        <w:div w:id="1584102508">
          <w:marLeft w:val="0"/>
          <w:marRight w:val="0"/>
          <w:marTop w:val="0"/>
          <w:marBottom w:val="0"/>
          <w:divBdr>
            <w:top w:val="none" w:sz="0" w:space="0" w:color="auto"/>
            <w:left w:val="none" w:sz="0" w:space="0" w:color="auto"/>
            <w:bottom w:val="none" w:sz="0" w:space="0" w:color="auto"/>
            <w:right w:val="none" w:sz="0" w:space="0" w:color="auto"/>
          </w:divBdr>
        </w:div>
        <w:div w:id="1832676566">
          <w:marLeft w:val="0"/>
          <w:marRight w:val="0"/>
          <w:marTop w:val="0"/>
          <w:marBottom w:val="0"/>
          <w:divBdr>
            <w:top w:val="none" w:sz="0" w:space="0" w:color="auto"/>
            <w:left w:val="none" w:sz="0" w:space="0" w:color="auto"/>
            <w:bottom w:val="none" w:sz="0" w:space="0" w:color="auto"/>
            <w:right w:val="none" w:sz="0" w:space="0" w:color="auto"/>
          </w:divBdr>
        </w:div>
        <w:div w:id="2071271009">
          <w:marLeft w:val="0"/>
          <w:marRight w:val="0"/>
          <w:marTop w:val="0"/>
          <w:marBottom w:val="0"/>
          <w:divBdr>
            <w:top w:val="none" w:sz="0" w:space="0" w:color="auto"/>
            <w:left w:val="none" w:sz="0" w:space="0" w:color="auto"/>
            <w:bottom w:val="none" w:sz="0" w:space="0" w:color="auto"/>
            <w:right w:val="none" w:sz="0" w:space="0" w:color="auto"/>
          </w:divBdr>
        </w:div>
        <w:div w:id="257443827">
          <w:marLeft w:val="0"/>
          <w:marRight w:val="0"/>
          <w:marTop w:val="0"/>
          <w:marBottom w:val="0"/>
          <w:divBdr>
            <w:top w:val="none" w:sz="0" w:space="0" w:color="auto"/>
            <w:left w:val="none" w:sz="0" w:space="0" w:color="auto"/>
            <w:bottom w:val="none" w:sz="0" w:space="0" w:color="auto"/>
            <w:right w:val="none" w:sz="0" w:space="0" w:color="auto"/>
          </w:divBdr>
        </w:div>
        <w:div w:id="1343363039">
          <w:marLeft w:val="0"/>
          <w:marRight w:val="0"/>
          <w:marTop w:val="0"/>
          <w:marBottom w:val="0"/>
          <w:divBdr>
            <w:top w:val="none" w:sz="0" w:space="0" w:color="auto"/>
            <w:left w:val="none" w:sz="0" w:space="0" w:color="auto"/>
            <w:bottom w:val="none" w:sz="0" w:space="0" w:color="auto"/>
            <w:right w:val="none" w:sz="0" w:space="0" w:color="auto"/>
          </w:divBdr>
        </w:div>
        <w:div w:id="1246453065">
          <w:marLeft w:val="0"/>
          <w:marRight w:val="0"/>
          <w:marTop w:val="0"/>
          <w:marBottom w:val="0"/>
          <w:divBdr>
            <w:top w:val="none" w:sz="0" w:space="0" w:color="auto"/>
            <w:left w:val="none" w:sz="0" w:space="0" w:color="auto"/>
            <w:bottom w:val="none" w:sz="0" w:space="0" w:color="auto"/>
            <w:right w:val="none" w:sz="0" w:space="0" w:color="auto"/>
          </w:divBdr>
        </w:div>
        <w:div w:id="1493065404">
          <w:marLeft w:val="0"/>
          <w:marRight w:val="0"/>
          <w:marTop w:val="0"/>
          <w:marBottom w:val="0"/>
          <w:divBdr>
            <w:top w:val="none" w:sz="0" w:space="0" w:color="auto"/>
            <w:left w:val="none" w:sz="0" w:space="0" w:color="auto"/>
            <w:bottom w:val="none" w:sz="0" w:space="0" w:color="auto"/>
            <w:right w:val="none" w:sz="0" w:space="0" w:color="auto"/>
          </w:divBdr>
        </w:div>
        <w:div w:id="1907375338">
          <w:marLeft w:val="0"/>
          <w:marRight w:val="0"/>
          <w:marTop w:val="0"/>
          <w:marBottom w:val="0"/>
          <w:divBdr>
            <w:top w:val="none" w:sz="0" w:space="0" w:color="auto"/>
            <w:left w:val="none" w:sz="0" w:space="0" w:color="auto"/>
            <w:bottom w:val="none" w:sz="0" w:space="0" w:color="auto"/>
            <w:right w:val="none" w:sz="0" w:space="0" w:color="auto"/>
          </w:divBdr>
        </w:div>
        <w:div w:id="124741250">
          <w:marLeft w:val="0"/>
          <w:marRight w:val="0"/>
          <w:marTop w:val="0"/>
          <w:marBottom w:val="0"/>
          <w:divBdr>
            <w:top w:val="none" w:sz="0" w:space="0" w:color="auto"/>
            <w:left w:val="none" w:sz="0" w:space="0" w:color="auto"/>
            <w:bottom w:val="none" w:sz="0" w:space="0" w:color="auto"/>
            <w:right w:val="none" w:sz="0" w:space="0" w:color="auto"/>
          </w:divBdr>
        </w:div>
        <w:div w:id="762802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Falconio</dc:creator>
  <cp:keywords/>
  <dc:description/>
  <cp:lastModifiedBy>Federica Demaria</cp:lastModifiedBy>
  <cp:revision>2</cp:revision>
  <dcterms:created xsi:type="dcterms:W3CDTF">2025-12-10T13:46:00Z</dcterms:created>
  <dcterms:modified xsi:type="dcterms:W3CDTF">2025-12-10T13:46:00Z</dcterms:modified>
</cp:coreProperties>
</file>